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23C7C" w14:textId="77777777" w:rsidR="00CA044C" w:rsidRPr="00CA044C" w:rsidRDefault="00CA044C" w:rsidP="00CA044C">
      <w:pPr>
        <w:shd w:val="clear" w:color="auto" w:fill="FFFFFF"/>
        <w:spacing w:line="240" w:lineRule="auto"/>
        <w:jc w:val="center"/>
        <w:outlineLvl w:val="1"/>
        <w:rPr>
          <w:rFonts w:ascii="Arial" w:eastAsia="Times New Roman" w:hAnsi="Arial" w:cs="Arial"/>
          <w:b/>
          <w:bCs/>
          <w:color w:val="080808"/>
          <w:sz w:val="36"/>
          <w:szCs w:val="36"/>
          <w:lang w:eastAsia="en-GB"/>
        </w:rPr>
      </w:pPr>
      <w:proofErr w:type="spellStart"/>
      <w:r w:rsidRPr="00CA044C">
        <w:rPr>
          <w:rFonts w:ascii="Arial" w:eastAsia="Times New Roman" w:hAnsi="Arial" w:cs="Arial"/>
          <w:b/>
          <w:bCs/>
          <w:color w:val="080808"/>
          <w:sz w:val="36"/>
          <w:szCs w:val="36"/>
          <w:lang w:eastAsia="en-GB"/>
        </w:rPr>
        <w:t>Schimbarea</w:t>
      </w:r>
      <w:proofErr w:type="spellEnd"/>
      <w:r w:rsidRPr="00CA044C">
        <w:rPr>
          <w:rFonts w:ascii="Arial" w:eastAsia="Times New Roman" w:hAnsi="Arial" w:cs="Arial"/>
          <w:b/>
          <w:bCs/>
          <w:color w:val="080808"/>
          <w:sz w:val="36"/>
          <w:szCs w:val="36"/>
          <w:lang w:eastAsia="en-GB"/>
        </w:rPr>
        <w:t xml:space="preserve"> </w:t>
      </w:r>
      <w:proofErr w:type="spellStart"/>
      <w:r w:rsidRPr="00CA044C">
        <w:rPr>
          <w:rFonts w:ascii="Arial" w:eastAsia="Times New Roman" w:hAnsi="Arial" w:cs="Arial"/>
          <w:b/>
          <w:bCs/>
          <w:color w:val="080808"/>
          <w:sz w:val="36"/>
          <w:szCs w:val="36"/>
          <w:lang w:eastAsia="en-GB"/>
        </w:rPr>
        <w:t>numelui</w:t>
      </w:r>
      <w:proofErr w:type="spellEnd"/>
      <w:r w:rsidRPr="00CA044C">
        <w:rPr>
          <w:rFonts w:ascii="Arial" w:eastAsia="Times New Roman" w:hAnsi="Arial" w:cs="Arial"/>
          <w:b/>
          <w:bCs/>
          <w:color w:val="080808"/>
          <w:sz w:val="36"/>
          <w:szCs w:val="36"/>
          <w:lang w:eastAsia="en-GB"/>
        </w:rPr>
        <w:t xml:space="preserve"> </w:t>
      </w:r>
      <w:proofErr w:type="spellStart"/>
      <w:r w:rsidRPr="00CA044C">
        <w:rPr>
          <w:rFonts w:ascii="Arial" w:eastAsia="Times New Roman" w:hAnsi="Arial" w:cs="Arial"/>
          <w:b/>
          <w:bCs/>
          <w:color w:val="080808"/>
          <w:sz w:val="36"/>
          <w:szCs w:val="36"/>
          <w:lang w:eastAsia="en-GB"/>
        </w:rPr>
        <w:t>aprobată</w:t>
      </w:r>
      <w:proofErr w:type="spellEnd"/>
      <w:r w:rsidRPr="00CA044C">
        <w:rPr>
          <w:rFonts w:ascii="Arial" w:eastAsia="Times New Roman" w:hAnsi="Arial" w:cs="Arial"/>
          <w:b/>
          <w:bCs/>
          <w:color w:val="080808"/>
          <w:sz w:val="36"/>
          <w:szCs w:val="36"/>
          <w:lang w:eastAsia="en-GB"/>
        </w:rPr>
        <w:t xml:space="preserve"> </w:t>
      </w:r>
      <w:proofErr w:type="spellStart"/>
      <w:r w:rsidRPr="00CA044C">
        <w:rPr>
          <w:rFonts w:ascii="Arial" w:eastAsia="Times New Roman" w:hAnsi="Arial" w:cs="Arial"/>
          <w:b/>
          <w:bCs/>
          <w:color w:val="080808"/>
          <w:sz w:val="36"/>
          <w:szCs w:val="36"/>
          <w:lang w:eastAsia="en-GB"/>
        </w:rPr>
        <w:t>în</w:t>
      </w:r>
      <w:proofErr w:type="spellEnd"/>
      <w:r w:rsidRPr="00CA044C">
        <w:rPr>
          <w:rFonts w:ascii="Arial" w:eastAsia="Times New Roman" w:hAnsi="Arial" w:cs="Arial"/>
          <w:b/>
          <w:bCs/>
          <w:color w:val="080808"/>
          <w:sz w:val="36"/>
          <w:szCs w:val="36"/>
          <w:lang w:eastAsia="en-GB"/>
        </w:rPr>
        <w:t xml:space="preserve"> </w:t>
      </w:r>
      <w:proofErr w:type="spellStart"/>
      <w:r w:rsidRPr="00CA044C">
        <w:rPr>
          <w:rFonts w:ascii="Arial" w:eastAsia="Times New Roman" w:hAnsi="Arial" w:cs="Arial"/>
          <w:b/>
          <w:bCs/>
          <w:color w:val="080808"/>
          <w:sz w:val="36"/>
          <w:szCs w:val="36"/>
          <w:lang w:eastAsia="en-GB"/>
        </w:rPr>
        <w:t>străinătate</w:t>
      </w:r>
      <w:proofErr w:type="spellEnd"/>
    </w:p>
    <w:p w14:paraId="1B63E9EB" w14:textId="77777777" w:rsidR="00CA044C" w:rsidRPr="00CA044C" w:rsidRDefault="00CA044C" w:rsidP="00CA044C">
      <w:pPr>
        <w:shd w:val="clear" w:color="auto" w:fill="FFFFFF"/>
        <w:spacing w:after="0" w:line="240" w:lineRule="auto"/>
        <w:rPr>
          <w:rFonts w:ascii="Poppins" w:eastAsia="Times New Roman" w:hAnsi="Poppins" w:cs="Poppins"/>
          <w:b/>
          <w:bCs/>
          <w:color w:val="212529"/>
          <w:lang w:eastAsia="en-GB"/>
        </w:rPr>
      </w:pPr>
      <w:hyperlink r:id="rId5" w:history="1">
        <w:proofErr w:type="spellStart"/>
        <w:r w:rsidRPr="00CA044C">
          <w:rPr>
            <w:rFonts w:ascii="Raleway" w:eastAsia="Times New Roman" w:hAnsi="Raleway" w:cs="Poppins"/>
            <w:b/>
            <w:bCs/>
            <w:color w:val="28A745"/>
            <w:u w:val="single"/>
            <w:lang w:eastAsia="en-GB"/>
          </w:rPr>
          <w:t>Unde</w:t>
        </w:r>
        <w:proofErr w:type="spellEnd"/>
        <w:r w:rsidRPr="00CA044C">
          <w:rPr>
            <w:rFonts w:ascii="Raleway" w:eastAsia="Times New Roman" w:hAnsi="Raleway" w:cs="Poppins"/>
            <w:b/>
            <w:bCs/>
            <w:color w:val="28A745"/>
            <w:u w:val="single"/>
            <w:lang w:eastAsia="en-GB"/>
          </w:rPr>
          <w:t xml:space="preserve"> se </w:t>
        </w:r>
        <w:proofErr w:type="spellStart"/>
        <w:r w:rsidRPr="00CA044C">
          <w:rPr>
            <w:rFonts w:ascii="Raleway" w:eastAsia="Times New Roman" w:hAnsi="Raleway" w:cs="Poppins"/>
            <w:b/>
            <w:bCs/>
            <w:color w:val="28A745"/>
            <w:u w:val="single"/>
            <w:lang w:eastAsia="en-GB"/>
          </w:rPr>
          <w:t>depune</w:t>
        </w:r>
        <w:proofErr w:type="spellEnd"/>
        <w:r w:rsidRPr="00CA044C">
          <w:rPr>
            <w:rFonts w:ascii="Raleway" w:eastAsia="Times New Roman" w:hAnsi="Raleway" w:cs="Poppins"/>
            <w:b/>
            <w:bCs/>
            <w:color w:val="28A745"/>
            <w:u w:val="single"/>
            <w:lang w:eastAsia="en-GB"/>
          </w:rPr>
          <w:t xml:space="preserve"> </w:t>
        </w:r>
        <w:proofErr w:type="spellStart"/>
        <w:r w:rsidRPr="00CA044C">
          <w:rPr>
            <w:rFonts w:ascii="Raleway" w:eastAsia="Times New Roman" w:hAnsi="Raleway" w:cs="Poppins"/>
            <w:b/>
            <w:bCs/>
            <w:color w:val="28A745"/>
            <w:u w:val="single"/>
            <w:lang w:eastAsia="en-GB"/>
          </w:rPr>
          <w:t>cererea</w:t>
        </w:r>
        <w:proofErr w:type="spellEnd"/>
        <w:r w:rsidRPr="00CA044C">
          <w:rPr>
            <w:rFonts w:ascii="Raleway" w:eastAsia="Times New Roman" w:hAnsi="Raleway" w:cs="Poppins"/>
            <w:b/>
            <w:bCs/>
            <w:color w:val="28A745"/>
            <w:u w:val="single"/>
            <w:lang w:eastAsia="en-GB"/>
          </w:rPr>
          <w:t>?</w:t>
        </w:r>
      </w:hyperlink>
    </w:p>
    <w:p w14:paraId="63119E75" w14:textId="77777777" w:rsidR="00CA044C" w:rsidRPr="00CA044C" w:rsidRDefault="00CA044C" w:rsidP="00CA044C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b/>
          <w:bCs/>
          <w:color w:val="212529"/>
          <w:lang w:eastAsia="en-GB"/>
        </w:rPr>
      </w:pP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Cererea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se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depune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la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primăria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/ SPCLEP care are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în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păstrare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actul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de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naştere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/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căsătorie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, personal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sau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prin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împuternicit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cu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procură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specială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,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autentificată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.</w:t>
      </w:r>
    </w:p>
    <w:p w14:paraId="35F8D049" w14:textId="77777777" w:rsidR="00CA044C" w:rsidRPr="00CA044C" w:rsidRDefault="00CA044C" w:rsidP="00CA044C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b/>
          <w:bCs/>
          <w:color w:val="212529"/>
          <w:lang w:eastAsia="en-GB"/>
        </w:rPr>
      </w:pP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Întreaga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documentație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se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transmite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la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direcția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județeană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de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evidență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a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persoanelor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competentă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,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în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vederea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obținerii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aprobării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.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Menţiunea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de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schimbare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a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numelui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de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familie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şi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/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sau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a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prenumelui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intervenită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în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străinătate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se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înscrie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numai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cu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aprobarea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emisă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de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către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direcția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județeană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de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evidență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a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persoanelor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,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termenul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de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soluţionare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a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cererii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fiind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de 30 de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zile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.</w:t>
      </w:r>
    </w:p>
    <w:p w14:paraId="45A0642D" w14:textId="77777777" w:rsidR="00CA044C" w:rsidRPr="00CA044C" w:rsidRDefault="00CA044C" w:rsidP="00CA044C">
      <w:pPr>
        <w:shd w:val="clear" w:color="auto" w:fill="FFFFFF"/>
        <w:spacing w:after="0" w:line="240" w:lineRule="auto"/>
        <w:rPr>
          <w:rFonts w:ascii="Poppins" w:eastAsia="Times New Roman" w:hAnsi="Poppins" w:cs="Poppins"/>
          <w:b/>
          <w:bCs/>
          <w:color w:val="212529"/>
          <w:lang w:eastAsia="en-GB"/>
        </w:rPr>
      </w:pPr>
      <w:hyperlink r:id="rId6" w:history="1">
        <w:proofErr w:type="spellStart"/>
        <w:r w:rsidRPr="00CA044C">
          <w:rPr>
            <w:rFonts w:ascii="Raleway" w:eastAsia="Times New Roman" w:hAnsi="Raleway" w:cs="Poppins"/>
            <w:b/>
            <w:bCs/>
            <w:color w:val="28A745"/>
            <w:u w:val="single"/>
            <w:lang w:eastAsia="en-GB"/>
          </w:rPr>
          <w:t>Acte</w:t>
        </w:r>
        <w:proofErr w:type="spellEnd"/>
        <w:r w:rsidRPr="00CA044C">
          <w:rPr>
            <w:rFonts w:ascii="Raleway" w:eastAsia="Times New Roman" w:hAnsi="Raleway" w:cs="Poppins"/>
            <w:b/>
            <w:bCs/>
            <w:color w:val="28A745"/>
            <w:u w:val="single"/>
            <w:lang w:eastAsia="en-GB"/>
          </w:rPr>
          <w:t xml:space="preserve"> </w:t>
        </w:r>
        <w:proofErr w:type="spellStart"/>
        <w:r w:rsidRPr="00CA044C">
          <w:rPr>
            <w:rFonts w:ascii="Raleway" w:eastAsia="Times New Roman" w:hAnsi="Raleway" w:cs="Poppins"/>
            <w:b/>
            <w:bCs/>
            <w:color w:val="28A745"/>
            <w:u w:val="single"/>
            <w:lang w:eastAsia="en-GB"/>
          </w:rPr>
          <w:t>necesare</w:t>
        </w:r>
        <w:proofErr w:type="spellEnd"/>
      </w:hyperlink>
    </w:p>
    <w:p w14:paraId="352FF5C7" w14:textId="77777777" w:rsidR="00CA044C" w:rsidRPr="00CA044C" w:rsidRDefault="00CA044C" w:rsidP="00CA044C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b/>
          <w:bCs/>
          <w:color w:val="212529"/>
          <w:lang w:eastAsia="en-GB"/>
        </w:rPr>
      </w:pPr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1.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Actul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de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schimbare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a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numelui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de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familie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şi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/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sau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a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prenumelui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în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original, cu </w:t>
      </w:r>
      <w:hyperlink r:id="rId7" w:history="1">
        <w:r w:rsidRPr="00CA044C">
          <w:rPr>
            <w:rFonts w:ascii="Poppins" w:eastAsia="Times New Roman" w:hAnsi="Poppins" w:cs="Poppins"/>
            <w:b/>
            <w:bCs/>
            <w:color w:val="6F42C1"/>
            <w:u w:val="single"/>
            <w:lang w:eastAsia="en-GB"/>
          </w:rPr>
          <w:t>APOSTILĂ</w:t>
        </w:r>
      </w:hyperlink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 / </w:t>
      </w:r>
      <w:hyperlink r:id="rId8" w:history="1">
        <w:r w:rsidRPr="00CA044C">
          <w:rPr>
            <w:rFonts w:ascii="Poppins" w:eastAsia="Times New Roman" w:hAnsi="Poppins" w:cs="Poppins"/>
            <w:b/>
            <w:bCs/>
            <w:color w:val="6F42C1"/>
            <w:u w:val="single"/>
            <w:lang w:eastAsia="en-GB"/>
          </w:rPr>
          <w:t>SUPRALEGALIZARE</w:t>
        </w:r>
      </w:hyperlink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 (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după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caz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) + 2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copii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;</w:t>
      </w:r>
    </w:p>
    <w:p w14:paraId="0BF4AE8F" w14:textId="77777777" w:rsidR="00CA044C" w:rsidRPr="00CA044C" w:rsidRDefault="00CA044C" w:rsidP="00CA044C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b/>
          <w:bCs/>
          <w:color w:val="212529"/>
          <w:lang w:eastAsia="en-GB"/>
        </w:rPr>
      </w:pP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Documentele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care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certifică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schimbarea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pe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cale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administrativă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a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numelui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,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emise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de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autorităţile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din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statele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membre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ale UE sunt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scutite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de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apostilare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.</w:t>
      </w:r>
    </w:p>
    <w:p w14:paraId="44D96091" w14:textId="77777777" w:rsidR="00CA044C" w:rsidRPr="00CA044C" w:rsidRDefault="00CA044C" w:rsidP="00CA044C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b/>
          <w:bCs/>
          <w:color w:val="212529"/>
          <w:lang w:eastAsia="en-GB"/>
        </w:rPr>
      </w:pPr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2.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Traducerea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legalizată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gram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a</w:t>
      </w:r>
      <w:proofErr w:type="gram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actului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de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schimbare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a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numelui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,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în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original + 2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copii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;</w:t>
      </w:r>
    </w:p>
    <w:p w14:paraId="625A727D" w14:textId="77777777" w:rsidR="00CA044C" w:rsidRPr="00CA044C" w:rsidRDefault="00CA044C" w:rsidP="00CA044C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b/>
          <w:bCs/>
          <w:color w:val="212529"/>
          <w:lang w:eastAsia="en-GB"/>
        </w:rPr>
      </w:pPr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3.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Fotocopii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de pe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următoarele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acte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:</w:t>
      </w:r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br/>
        <w:t xml:space="preserve">–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paşaport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/ act de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identitate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eliberat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de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autoritățile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străine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cu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numele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de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familie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și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/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sau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prenumele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schimbat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br/>
        <w:t xml:space="preserve">–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paşaport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pt.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cetăţean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român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cu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menţionarea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domiciliului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în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străinătate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br/>
        <w:t xml:space="preserve">– carte de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identitate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br/>
        <w:t xml:space="preserve">–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certificat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de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naştere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br/>
        <w:t xml:space="preserve">–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certificat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de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căsătorie</w:t>
      </w:r>
      <w:proofErr w:type="spellEnd"/>
    </w:p>
    <w:p w14:paraId="42E7211E" w14:textId="77777777" w:rsidR="00CA044C" w:rsidRPr="00CA044C" w:rsidRDefault="00CA044C" w:rsidP="00CA044C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b/>
          <w:bCs/>
          <w:color w:val="212529"/>
          <w:lang w:eastAsia="en-GB"/>
        </w:rPr>
      </w:pPr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4.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Procură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specială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(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după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caz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)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privind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depunerea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documentelor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pentru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înscrierea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menţiunii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de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schimbare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a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numelui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de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familie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şi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/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sau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a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prenumelui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şi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ridicarea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noilor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certificate de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naştere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/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căsătorie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,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după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caz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.</w:t>
      </w:r>
    </w:p>
    <w:p w14:paraId="020F90C8" w14:textId="3F1F8836" w:rsidR="00CA044C" w:rsidRPr="00CA044C" w:rsidRDefault="00CA044C" w:rsidP="00CA044C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b/>
          <w:bCs/>
          <w:color w:val="212529"/>
          <w:lang w:eastAsia="en-GB"/>
        </w:rPr>
      </w:pP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familie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și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/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sau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prenumele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schimbat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br/>
        <w:t xml:space="preserve">–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paşaport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pt.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cetăţean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român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cu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menţionarea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domiciliului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în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străinătate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br/>
        <w:t xml:space="preserve">– carte de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identitate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br/>
        <w:t xml:space="preserve">–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certificat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de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naştere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br/>
        <w:t xml:space="preserve">–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certificat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de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căsătorie</w:t>
      </w:r>
      <w:proofErr w:type="spellEnd"/>
    </w:p>
    <w:p w14:paraId="59D37F56" w14:textId="77777777" w:rsidR="00CA044C" w:rsidRPr="00CA044C" w:rsidRDefault="00CA044C" w:rsidP="00CA044C">
      <w:pPr>
        <w:shd w:val="clear" w:color="auto" w:fill="FFFFFF"/>
        <w:spacing w:after="0" w:line="240" w:lineRule="auto"/>
        <w:rPr>
          <w:rFonts w:ascii="Poppins" w:eastAsia="Times New Roman" w:hAnsi="Poppins" w:cs="Poppins"/>
          <w:b/>
          <w:bCs/>
          <w:color w:val="212529"/>
          <w:lang w:eastAsia="en-GB"/>
        </w:rPr>
      </w:pPr>
      <w:hyperlink r:id="rId9" w:history="1">
        <w:proofErr w:type="spellStart"/>
        <w:r w:rsidRPr="00CA044C">
          <w:rPr>
            <w:rFonts w:ascii="Raleway" w:eastAsia="Times New Roman" w:hAnsi="Raleway" w:cs="Poppins"/>
            <w:b/>
            <w:bCs/>
            <w:color w:val="28A745"/>
            <w:u w:val="single"/>
            <w:lang w:eastAsia="en-GB"/>
          </w:rPr>
          <w:t>Depunerea</w:t>
        </w:r>
        <w:proofErr w:type="spellEnd"/>
        <w:r w:rsidRPr="00CA044C">
          <w:rPr>
            <w:rFonts w:ascii="Raleway" w:eastAsia="Times New Roman" w:hAnsi="Raleway" w:cs="Poppins"/>
            <w:b/>
            <w:bCs/>
            <w:color w:val="28A745"/>
            <w:u w:val="single"/>
            <w:lang w:eastAsia="en-GB"/>
          </w:rPr>
          <w:t xml:space="preserve"> </w:t>
        </w:r>
        <w:proofErr w:type="spellStart"/>
        <w:r w:rsidRPr="00CA044C">
          <w:rPr>
            <w:rFonts w:ascii="Raleway" w:eastAsia="Times New Roman" w:hAnsi="Raleway" w:cs="Poppins"/>
            <w:b/>
            <w:bCs/>
            <w:color w:val="28A745"/>
            <w:u w:val="single"/>
            <w:lang w:eastAsia="en-GB"/>
          </w:rPr>
          <w:t>cererii</w:t>
        </w:r>
        <w:proofErr w:type="spellEnd"/>
        <w:r w:rsidRPr="00CA044C">
          <w:rPr>
            <w:rFonts w:ascii="Raleway" w:eastAsia="Times New Roman" w:hAnsi="Raleway" w:cs="Poppins"/>
            <w:b/>
            <w:bCs/>
            <w:color w:val="28A745"/>
            <w:u w:val="single"/>
            <w:lang w:eastAsia="en-GB"/>
          </w:rPr>
          <w:t xml:space="preserve"> </w:t>
        </w:r>
        <w:proofErr w:type="spellStart"/>
        <w:r w:rsidRPr="00CA044C">
          <w:rPr>
            <w:rFonts w:ascii="Raleway" w:eastAsia="Times New Roman" w:hAnsi="Raleway" w:cs="Poppins"/>
            <w:b/>
            <w:bCs/>
            <w:color w:val="28A745"/>
            <w:u w:val="single"/>
            <w:lang w:eastAsia="en-GB"/>
          </w:rPr>
          <w:t>prin</w:t>
        </w:r>
        <w:proofErr w:type="spellEnd"/>
        <w:r w:rsidRPr="00CA044C">
          <w:rPr>
            <w:rFonts w:ascii="Raleway" w:eastAsia="Times New Roman" w:hAnsi="Raleway" w:cs="Poppins"/>
            <w:b/>
            <w:bCs/>
            <w:color w:val="28A745"/>
            <w:u w:val="single"/>
            <w:lang w:eastAsia="en-GB"/>
          </w:rPr>
          <w:t xml:space="preserve"> </w:t>
        </w:r>
        <w:proofErr w:type="spellStart"/>
        <w:r w:rsidRPr="00CA044C">
          <w:rPr>
            <w:rFonts w:ascii="Raleway" w:eastAsia="Times New Roman" w:hAnsi="Raleway" w:cs="Poppins"/>
            <w:b/>
            <w:bCs/>
            <w:color w:val="28A745"/>
            <w:u w:val="single"/>
            <w:lang w:eastAsia="en-GB"/>
          </w:rPr>
          <w:t>împuternicit</w:t>
        </w:r>
        <w:proofErr w:type="spellEnd"/>
      </w:hyperlink>
    </w:p>
    <w:p w14:paraId="21C8EC72" w14:textId="77777777" w:rsidR="00CA044C" w:rsidRPr="00CA044C" w:rsidRDefault="00CA044C" w:rsidP="00CA044C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b/>
          <w:bCs/>
          <w:color w:val="212529"/>
          <w:lang w:eastAsia="en-GB"/>
        </w:rPr>
      </w:pP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Cererea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poate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fi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depusă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şi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prin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împuternicit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cu 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procură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specială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,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autentificată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de 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notar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.</w:t>
      </w:r>
    </w:p>
    <w:p w14:paraId="3423A1F7" w14:textId="77777777" w:rsidR="00CA044C" w:rsidRPr="00CA044C" w:rsidRDefault="00CA044C" w:rsidP="00CA044C">
      <w:pPr>
        <w:shd w:val="clear" w:color="auto" w:fill="FFFFFF"/>
        <w:spacing w:after="100" w:afterAutospacing="1" w:line="240" w:lineRule="auto"/>
        <w:ind w:left="720"/>
        <w:rPr>
          <w:rFonts w:ascii="Poppins" w:eastAsia="Times New Roman" w:hAnsi="Poppins" w:cs="Poppins"/>
          <w:b/>
          <w:bCs/>
          <w:color w:val="212529"/>
          <w:lang w:eastAsia="en-GB"/>
        </w:rPr>
      </w:pP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Dacă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vă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aflaţi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în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străinătate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:</w:t>
      </w:r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br/>
        <w:t xml:space="preserve">Procura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specială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trebuie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să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fie 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autentificată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 (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legalizată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) de 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notar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, 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caz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în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care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va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trebui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să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fie 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fldChar w:fldCharType="begin"/>
      </w:r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instrText xml:space="preserve"> HYPERLINK "https://www.primariatm.ro/acte-din-strainatate/" </w:instrText>
      </w:r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fldChar w:fldCharType="separate"/>
      </w:r>
      <w:r w:rsidRPr="00CA044C">
        <w:rPr>
          <w:rFonts w:ascii="Poppins" w:eastAsia="Times New Roman" w:hAnsi="Poppins" w:cs="Poppins"/>
          <w:b/>
          <w:bCs/>
          <w:color w:val="6F42C1"/>
          <w:u w:val="single"/>
          <w:lang w:eastAsia="en-GB"/>
        </w:rPr>
        <w:t>supralegalizată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fldChar w:fldCharType="end"/>
      </w:r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 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sau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 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fldChar w:fldCharType="begin"/>
      </w:r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instrText xml:space="preserve"> HYPERLINK "https://www.primariatm.ro/acte-din-strainatate/" </w:instrText>
      </w:r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fldChar w:fldCharType="separate"/>
      </w:r>
      <w:r w:rsidRPr="00CA044C">
        <w:rPr>
          <w:rFonts w:ascii="Poppins" w:eastAsia="Times New Roman" w:hAnsi="Poppins" w:cs="Poppins"/>
          <w:b/>
          <w:bCs/>
          <w:color w:val="6F42C1"/>
          <w:lang w:eastAsia="en-GB"/>
        </w:rPr>
        <w:t>apostilată</w:t>
      </w:r>
      <w:proofErr w:type="spellEnd"/>
      <w:r w:rsidRPr="00CA044C">
        <w:rPr>
          <w:rFonts w:ascii="Poppins" w:eastAsia="Times New Roman" w:hAnsi="Poppins" w:cs="Poppins"/>
          <w:b/>
          <w:bCs/>
          <w:color w:val="6F42C1"/>
          <w:u w:val="single"/>
          <w:lang w:eastAsia="en-GB"/>
        </w:rPr>
        <w:t> </w:t>
      </w:r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fldChar w:fldCharType="end"/>
      </w:r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(conform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convenţiei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de la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Haga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din 1961)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şi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 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tradusă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în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limba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română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,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legalizată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 (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atât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lastRenderedPageBreak/>
        <w:t>traducerea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,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cât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şi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legalizarea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traducerii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se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întocmesc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în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România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la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notar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public).</w:t>
      </w:r>
    </w:p>
    <w:p w14:paraId="56093E52" w14:textId="77777777" w:rsidR="00CA044C" w:rsidRPr="00CA044C" w:rsidRDefault="00CA044C" w:rsidP="00CA044C">
      <w:pPr>
        <w:shd w:val="clear" w:color="auto" w:fill="FFFFFF"/>
        <w:spacing w:after="100" w:afterAutospacing="1" w:line="240" w:lineRule="auto"/>
        <w:ind w:left="720"/>
        <w:rPr>
          <w:rFonts w:ascii="Poppins" w:eastAsia="Times New Roman" w:hAnsi="Poppins" w:cs="Poppins"/>
          <w:b/>
          <w:bCs/>
          <w:color w:val="212529"/>
          <w:lang w:eastAsia="en-GB"/>
        </w:rPr>
      </w:pPr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Procura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specială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poate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fi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dată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la 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Ambasada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/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Consulatul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României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 din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străinătate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.</w:t>
      </w:r>
    </w:p>
    <w:p w14:paraId="3BA8B578" w14:textId="77777777" w:rsidR="00CA044C" w:rsidRPr="00CA044C" w:rsidRDefault="00CA044C" w:rsidP="00CA044C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b/>
          <w:bCs/>
          <w:color w:val="212529"/>
          <w:lang w:eastAsia="en-GB"/>
        </w:rPr>
      </w:pPr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Procura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specială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şi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traducerea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legalizată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 se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depun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 de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persoana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împuternicită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, 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în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original.</w:t>
      </w:r>
    </w:p>
    <w:p w14:paraId="524682BA" w14:textId="77777777" w:rsidR="00CA044C" w:rsidRPr="00CA044C" w:rsidRDefault="00CA044C" w:rsidP="00CA044C">
      <w:pPr>
        <w:numPr>
          <w:ilvl w:val="1"/>
          <w:numId w:val="1"/>
        </w:num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b/>
          <w:bCs/>
          <w:color w:val="212529"/>
          <w:lang w:eastAsia="en-GB"/>
        </w:rPr>
      </w:pPr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Mai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multe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informaţii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cu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privire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la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necesitatea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de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supralegalizare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/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apostilare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,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sau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scutirea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de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supralegalizare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ori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altă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formalitate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a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documentelor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emise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de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autorităţile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din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străinătate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,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în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funcţie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de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statul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emitent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găsiţi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 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fldChar w:fldCharType="begin"/>
      </w:r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instrText xml:space="preserve"> HYPERLINK "https://www.primariatm.ro/acte-din-strainatate/" </w:instrText>
      </w:r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fldChar w:fldCharType="separate"/>
      </w:r>
      <w:r w:rsidRPr="00CA044C">
        <w:rPr>
          <w:rFonts w:ascii="Poppins" w:eastAsia="Times New Roman" w:hAnsi="Poppins" w:cs="Poppins"/>
          <w:b/>
          <w:bCs/>
          <w:color w:val="6F42C1"/>
          <w:lang w:eastAsia="en-GB"/>
        </w:rPr>
        <w:t>aici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fldChar w:fldCharType="end"/>
      </w:r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.</w:t>
      </w:r>
    </w:p>
    <w:p w14:paraId="7611F401" w14:textId="77777777" w:rsidR="00CA044C" w:rsidRPr="00CA044C" w:rsidRDefault="00CA044C" w:rsidP="00CA044C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b/>
          <w:bCs/>
          <w:color w:val="212529"/>
          <w:lang w:eastAsia="en-GB"/>
        </w:rPr>
      </w:pP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Atât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la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primirea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cererii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,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cât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şi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la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eliberarea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documentului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solicitat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,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ofiţerul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de stare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civilă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este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obligat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să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verifice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identitatea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persoanei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care l-a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solicitat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, pe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baza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actului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de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identitate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(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buletin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de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identitate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, carte de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identitate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,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sau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carte de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identitate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provizorie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, carte de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identitate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sau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paşaport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pt.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cetăţenii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UE,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paşaport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pt.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cetăţenii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străini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sau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cetăţenii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români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cu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domiciliul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în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străinătate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), care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trebuie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să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fie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în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termen de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valabilitate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.</w:t>
      </w:r>
    </w:p>
    <w:p w14:paraId="29CAD3C9" w14:textId="77777777" w:rsidR="00CA044C" w:rsidRPr="00CA044C" w:rsidRDefault="00CA044C" w:rsidP="00CA044C">
      <w:pPr>
        <w:shd w:val="clear" w:color="auto" w:fill="FFFFFF"/>
        <w:spacing w:after="100" w:afterAutospacing="1" w:line="240" w:lineRule="auto"/>
        <w:ind w:left="720"/>
        <w:rPr>
          <w:rFonts w:ascii="Poppins" w:eastAsia="Times New Roman" w:hAnsi="Poppins" w:cs="Poppins"/>
          <w:b/>
          <w:bCs/>
          <w:color w:val="212529"/>
          <w:lang w:eastAsia="en-GB"/>
        </w:rPr>
      </w:pP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Atât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în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cazul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în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care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solicitaţi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personal,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cât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şi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în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cazul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în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care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solicitaţi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prin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împuternicit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cu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procură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specială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,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este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necesară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prezenţa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solicitantului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în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faţa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ofiţerului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de stare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civilă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delegat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, care </w:t>
      </w:r>
      <w:proofErr w:type="gram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are</w:t>
      </w:r>
      <w:proofErr w:type="gram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obligaţia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să-i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verifice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identitatea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şi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să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certifice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acest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fapt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pe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cererea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depusă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,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astfel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că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,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cererile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transmise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prin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e-mail,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sau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prin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poştă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nu pot fi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soluţionate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 xml:space="preserve"> </w:t>
      </w:r>
      <w:proofErr w:type="spellStart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favorabil</w:t>
      </w:r>
      <w:proofErr w:type="spellEnd"/>
      <w:r w:rsidRPr="00CA044C">
        <w:rPr>
          <w:rFonts w:ascii="Poppins" w:eastAsia="Times New Roman" w:hAnsi="Poppins" w:cs="Poppins"/>
          <w:b/>
          <w:bCs/>
          <w:color w:val="212529"/>
          <w:lang w:eastAsia="en-GB"/>
        </w:rPr>
        <w:t>.</w:t>
      </w:r>
    </w:p>
    <w:p w14:paraId="652B7E97" w14:textId="77777777" w:rsidR="00CA044C" w:rsidRPr="00CA044C" w:rsidRDefault="00CA044C" w:rsidP="00CA044C">
      <w:pPr>
        <w:shd w:val="clear" w:color="auto" w:fill="FFFFFF"/>
        <w:spacing w:line="240" w:lineRule="auto"/>
        <w:rPr>
          <w:rFonts w:ascii="Poppins" w:eastAsia="Times New Roman" w:hAnsi="Poppins" w:cs="Poppins"/>
          <w:b/>
          <w:bCs/>
          <w:color w:val="212529"/>
          <w:lang w:eastAsia="en-GB"/>
        </w:rPr>
      </w:pPr>
      <w:hyperlink r:id="rId10" w:history="1">
        <w:proofErr w:type="spellStart"/>
        <w:r w:rsidRPr="00CA044C">
          <w:rPr>
            <w:rFonts w:ascii="Raleway" w:eastAsia="Times New Roman" w:hAnsi="Raleway" w:cs="Poppins"/>
            <w:b/>
            <w:bCs/>
            <w:color w:val="28A745"/>
            <w:u w:val="single"/>
            <w:lang w:eastAsia="en-GB"/>
          </w:rPr>
          <w:t>Descarcă</w:t>
        </w:r>
        <w:proofErr w:type="spellEnd"/>
        <w:r w:rsidRPr="00CA044C">
          <w:rPr>
            <w:rFonts w:ascii="Raleway" w:eastAsia="Times New Roman" w:hAnsi="Raleway" w:cs="Poppins"/>
            <w:b/>
            <w:bCs/>
            <w:color w:val="28A745"/>
            <w:u w:val="single"/>
            <w:lang w:eastAsia="en-GB"/>
          </w:rPr>
          <w:t xml:space="preserve"> </w:t>
        </w:r>
        <w:proofErr w:type="spellStart"/>
        <w:r w:rsidRPr="00CA044C">
          <w:rPr>
            <w:rFonts w:ascii="Raleway" w:eastAsia="Times New Roman" w:hAnsi="Raleway" w:cs="Poppins"/>
            <w:b/>
            <w:bCs/>
            <w:color w:val="28A745"/>
            <w:u w:val="single"/>
            <w:lang w:eastAsia="en-GB"/>
          </w:rPr>
          <w:t>formularul</w:t>
        </w:r>
        <w:proofErr w:type="spellEnd"/>
        <w:r w:rsidRPr="00CA044C">
          <w:rPr>
            <w:rFonts w:ascii="Raleway" w:eastAsia="Times New Roman" w:hAnsi="Raleway" w:cs="Poppins"/>
            <w:b/>
            <w:bCs/>
            <w:color w:val="28A745"/>
            <w:u w:val="single"/>
            <w:lang w:eastAsia="en-GB"/>
          </w:rPr>
          <w:t xml:space="preserve"> </w:t>
        </w:r>
        <w:proofErr w:type="spellStart"/>
        <w:r w:rsidRPr="00CA044C">
          <w:rPr>
            <w:rFonts w:ascii="Raleway" w:eastAsia="Times New Roman" w:hAnsi="Raleway" w:cs="Poppins"/>
            <w:b/>
            <w:bCs/>
            <w:color w:val="28A745"/>
            <w:u w:val="single"/>
            <w:lang w:eastAsia="en-GB"/>
          </w:rPr>
          <w:t>necesar</w:t>
        </w:r>
        <w:proofErr w:type="spellEnd"/>
      </w:hyperlink>
    </w:p>
    <w:p w14:paraId="7F43B48E" w14:textId="3107971B" w:rsidR="00D47A51" w:rsidRPr="00CA044C" w:rsidRDefault="00CA044C">
      <w:pPr>
        <w:rPr>
          <w:lang w:val="hu-HU"/>
        </w:rPr>
      </w:pPr>
      <w:r>
        <w:object w:dxaOrig="1537" w:dyaOrig="994" w14:anchorId="0C298C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1" o:title=""/>
          </v:shape>
          <o:OLEObject Type="Embed" ProgID="Acrobat.Document.DC" ShapeID="_x0000_i1025" DrawAspect="Icon" ObjectID="_1738051388" r:id="rId12"/>
        </w:object>
      </w:r>
    </w:p>
    <w:sectPr w:rsidR="00D47A51" w:rsidRPr="00CA044C" w:rsidSect="00CA044C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926E2"/>
    <w:multiLevelType w:val="multilevel"/>
    <w:tmpl w:val="BC268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878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44C"/>
    <w:rsid w:val="00CA044C"/>
    <w:rsid w:val="00D4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EDA6"/>
  <w15:chartTrackingRefBased/>
  <w15:docId w15:val="{ED2DE2DB-1D2A-4FF8-A13D-DA053AA4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68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826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52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D4D4D4"/>
                        <w:right w:val="none" w:sz="0" w:space="0" w:color="auto"/>
                      </w:divBdr>
                    </w:div>
                  </w:divsChild>
                </w:div>
                <w:div w:id="129186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64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D4D4D4"/>
                        <w:right w:val="none" w:sz="0" w:space="0" w:color="auto"/>
                      </w:divBdr>
                    </w:div>
                  </w:divsChild>
                </w:div>
                <w:div w:id="84948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5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1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D4D4D4"/>
                        <w:right w:val="none" w:sz="0" w:space="0" w:color="auto"/>
                      </w:divBdr>
                    </w:div>
                  </w:divsChild>
                </w:div>
                <w:div w:id="18972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32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12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0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95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D4D4D4"/>
                        <w:right w:val="none" w:sz="0" w:space="0" w:color="auto"/>
                      </w:divBdr>
                    </w:div>
                  </w:divsChild>
                </w:div>
                <w:div w:id="171778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7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6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D4D4D4"/>
                        <w:right w:val="none" w:sz="0" w:space="0" w:color="auto"/>
                      </w:divBdr>
                    </w:div>
                  </w:divsChild>
                </w:div>
                <w:div w:id="194506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D4D4D4"/>
                        <w:right w:val="none" w:sz="0" w:space="0" w:color="auto"/>
                      </w:divBdr>
                    </w:div>
                  </w:divsChild>
                </w:div>
                <w:div w:id="103816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9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2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66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4452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3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7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D4D4D4"/>
                        <w:right w:val="none" w:sz="0" w:space="0" w:color="auto"/>
                      </w:divBdr>
                    </w:div>
                  </w:divsChild>
                </w:div>
                <w:div w:id="2934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D4D4D4"/>
                        <w:right w:val="none" w:sz="0" w:space="0" w:color="auto"/>
                      </w:divBdr>
                    </w:div>
                  </w:divsChild>
                </w:div>
                <w:div w:id="144199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D4D4D4"/>
                        <w:right w:val="none" w:sz="0" w:space="0" w:color="auto"/>
                      </w:divBdr>
                    </w:div>
                  </w:divsChild>
                </w:div>
                <w:div w:id="108090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6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22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8324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D4D4D4"/>
                        <w:right w:val="none" w:sz="0" w:space="0" w:color="auto"/>
                      </w:divBdr>
                    </w:div>
                  </w:divsChild>
                </w:div>
                <w:div w:id="94623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D4D4D4"/>
                        <w:right w:val="none" w:sz="0" w:space="0" w:color="auto"/>
                      </w:divBdr>
                    </w:div>
                  </w:divsChild>
                </w:div>
                <w:div w:id="2232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8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D4D4D4"/>
                        <w:right w:val="none" w:sz="0" w:space="0" w:color="auto"/>
                      </w:divBdr>
                    </w:div>
                  </w:divsChild>
                </w:div>
                <w:div w:id="206517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D4D4D4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190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804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93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87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85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D4D4D4"/>
                        <w:right w:val="none" w:sz="0" w:space="0" w:color="auto"/>
                      </w:divBdr>
                    </w:div>
                  </w:divsChild>
                </w:div>
                <w:div w:id="5637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D4D4D4"/>
                        <w:right w:val="none" w:sz="0" w:space="0" w:color="auto"/>
                      </w:divBdr>
                    </w:div>
                  </w:divsChild>
                </w:div>
                <w:div w:id="39049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D4D4D4"/>
                        <w:right w:val="none" w:sz="0" w:space="0" w:color="auto"/>
                      </w:divBdr>
                    </w:div>
                  </w:divsChild>
                </w:div>
                <w:div w:id="2847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imariatm.ro/acte-din-strainatat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imariatm.ro/acte-din-strainatate/" TargetMode="Externa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imariatm.ro/schimbare-nume-in-strainatate/" TargetMode="External"/><Relationship Id="rId11" Type="http://schemas.openxmlformats.org/officeDocument/2006/relationships/image" Target="media/image1.emf"/><Relationship Id="rId5" Type="http://schemas.openxmlformats.org/officeDocument/2006/relationships/hyperlink" Target="https://www.primariatm.ro/schimbare-nume-in-strainatate/" TargetMode="External"/><Relationship Id="rId10" Type="http://schemas.openxmlformats.org/officeDocument/2006/relationships/hyperlink" Target="https://www.primariatm.ro/schimbare-nume-in-strainatat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imariatm.ro/schimbare-nume-in-strainatat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Kilyen Istan</dc:creator>
  <cp:keywords/>
  <dc:description/>
  <cp:lastModifiedBy>Kilyen Istan</cp:lastModifiedBy>
  <cp:revision>1</cp:revision>
  <dcterms:created xsi:type="dcterms:W3CDTF">2023-02-16T09:09:00Z</dcterms:created>
  <dcterms:modified xsi:type="dcterms:W3CDTF">2023-02-16T09:17:00Z</dcterms:modified>
</cp:coreProperties>
</file>